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9A" w:rsidRDefault="007716C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Vilonya Község Önkormányzata Képviselő-testületének </w:t>
      </w:r>
    </w:p>
    <w:p w:rsidR="002271CE" w:rsidRDefault="007716C1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.../....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2271CE" w:rsidRDefault="007716C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Vilonya Község Helyi Építési Szabályzatáról szóló 10/2018.(XI.19.) önkormányzati rendelet módosításáról</w:t>
      </w:r>
    </w:p>
    <w:p w:rsidR="002271CE" w:rsidRDefault="007716C1">
      <w:pPr>
        <w:pStyle w:val="Szvegtrzs"/>
        <w:spacing w:after="0" w:line="240" w:lineRule="auto"/>
        <w:jc w:val="both"/>
      </w:pPr>
      <w:r>
        <w:t xml:space="preserve">[1] 1] A rendelet módosítás célja, hogy a lakosság, illetve </w:t>
      </w:r>
      <w:r>
        <w:t>az önkormányzat által felmerült igények a rendelet módosításával megvalósíthatóvá váljanak.</w:t>
      </w:r>
    </w:p>
    <w:p w:rsidR="002271CE" w:rsidRDefault="007716C1">
      <w:pPr>
        <w:pStyle w:val="Szvegtrzs"/>
        <w:spacing w:before="120" w:after="0" w:line="240" w:lineRule="auto"/>
        <w:jc w:val="both"/>
      </w:pPr>
      <w:r>
        <w:t xml:space="preserve">[2] Az Alaptörvény 32. cikk (1) bekezdés a) pontjában meghatározott jogalkotói hatáskörében, az épített környezet alakításáról </w:t>
      </w:r>
      <w:r>
        <w:rPr>
          <w:i/>
          <w:iCs/>
        </w:rPr>
        <w:t xml:space="preserve">és védelméről </w:t>
      </w:r>
      <w:r>
        <w:t>szóló 1997. évi LXXVIII</w:t>
      </w:r>
      <w:r>
        <w:t>. törvény (6) bekezdés 6. pontjában kapott felhatalmazás alapján, a Magyarország helyi önkormányzatairól szóló 2011. évi CLXXXIX. törvény 13. § (1) bekezdés 1. pontjában és az épített környezet alakításáról és védelméről szóló 1997. évi LXXVIII. törvény 6.</w:t>
      </w:r>
      <w:r>
        <w:t xml:space="preserve"> § (1) bekezdésében meghatározott feladatkörében eljárva, a településfejlesztési </w:t>
      </w:r>
      <w:proofErr w:type="gramStart"/>
      <w:r>
        <w:t>koncepcióról</w:t>
      </w:r>
      <w:proofErr w:type="gramEnd"/>
      <w:r>
        <w:t xml:space="preserve">, az integrált település-fejlesztési stratégiáról és a településrendezési eszközökről, valamint egyes településrendezési sajátos jogintézményekről szóló 314/2012. </w:t>
      </w:r>
      <w:r>
        <w:t xml:space="preserve">(XI. 8.) Korm. rendelet 38. </w:t>
      </w:r>
      <w:proofErr w:type="gramStart"/>
      <w:r>
        <w:t>§ (2) bekezdésében biztosított jogkörében eljáró államigazgatási szervek - Veszprém Vármegyei Kormányhivatal Állami Főépítész, Veszprém Vármegyei Kormányhivatal Veszprém Vármegyei Kormányhivatal Környezetvédelmi, Természetvédelm</w:t>
      </w:r>
      <w:r>
        <w:t>i és Hulladékgazdálkodási Főosztály, Balaton-felvidéki Nemzeti Park Igazgatóság, Közép-dunántúli Vízügyi Igazgatóság Balatoni Vízügyi Kirendeltség, Fejér Vármegyei Katasztrófavédelmi Igazgatóság Hatósági Osztály, Veszprém Vármegyei Katasztrófavédelmi Igazg</w:t>
      </w:r>
      <w:r>
        <w:t>atóság, Veszprém Vármegyei Kormányhivatal Népegészségügyi Főosztály, Budapest Főváros Kormányhivatala Népegészségügyi</w:t>
      </w:r>
      <w:proofErr w:type="gramEnd"/>
      <w:r>
        <w:t xml:space="preserve"> </w:t>
      </w:r>
      <w:proofErr w:type="gramStart"/>
      <w:r>
        <w:t>Főosztály, Budapest Főváros Kormányhivatala Közlekedési Főosztály Útügyi Osztály, Honvédelmi Minisztérium Hatósági Főosztály, Honvédelmi M</w:t>
      </w:r>
      <w:r>
        <w:t xml:space="preserve">inisztérium Hatósági Főosztály, Veszprém Vármegyei Kormányhivatal Műszaki Engedélyezési Főosztály Útügyi Osztály, Veszprém Vármegyei Kormányhivatal Építésügyi és Örökségvédelmi Osztály, Veszprém Vármegyei Kormányhivatal Földhivatali Főosztály Földhivatali </w:t>
      </w:r>
      <w:r>
        <w:t>Koordinációs Osztály, Veszprém Vármegyei Kormányhivatal Agrárügyi Főosztály Erdészeti Osztály, Szabályozott Tevékenységek Felügyeleti Hatósága Bányászati és Gázipari Főosztály, Nemzeti Média- és Hírközlési</w:t>
      </w:r>
      <w:proofErr w:type="gramEnd"/>
      <w:r>
        <w:t xml:space="preserve"> Hatóság, Országos Atomenergia Hivatal, Veszprém Vá</w:t>
      </w:r>
      <w:r>
        <w:t>rmegyei Rendőr-főkapitányság, Veszprém Vármegyei Önkormányzat -, az érintett települési önkormányzatok véleményének kikérésével és a partnerségi egyeztetés szabályainak megfelelően a következőket rendeli el:</w:t>
      </w:r>
    </w:p>
    <w:p w:rsidR="002271CE" w:rsidRDefault="007716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271CE" w:rsidRDefault="007716C1">
      <w:pPr>
        <w:pStyle w:val="Szvegtrzs"/>
        <w:spacing w:after="0" w:line="240" w:lineRule="auto"/>
        <w:jc w:val="both"/>
      </w:pPr>
      <w:r>
        <w:t>A Vilonya Község Helyi Építési Szabályzatár</w:t>
      </w:r>
      <w:r>
        <w:t>ól szóló 10/2018.(XI.19.) önkormányzati rendelet 17.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(8)–(10) bekezdéssel egészül ki:</w:t>
      </w:r>
    </w:p>
    <w:p w:rsidR="002271CE" w:rsidRDefault="007716C1">
      <w:pPr>
        <w:pStyle w:val="Szvegtrzs"/>
        <w:spacing w:before="240" w:after="0" w:line="240" w:lineRule="auto"/>
        <w:jc w:val="both"/>
      </w:pPr>
      <w:r>
        <w:t>„(8) A szabályozási terven telekalakítási korlátozással érintett területen új, beépíthető ingatlant eredményező telekalakítás nem végezhető, valamint magá</w:t>
      </w:r>
      <w:r>
        <w:t>nút nem alakítható ki.</w:t>
      </w:r>
    </w:p>
    <w:p w:rsidR="002271CE" w:rsidRDefault="007716C1">
      <w:pPr>
        <w:pStyle w:val="Szvegtrzs"/>
        <w:spacing w:before="240" w:after="0" w:line="240" w:lineRule="auto"/>
        <w:jc w:val="both"/>
      </w:pPr>
      <w:r>
        <w:t>(9) A szabályozási terven kötelező telekhatárral érintett ingatlanok hátsókerti, saroktelek esetén oldalkerti telekhatáraik között létrejövő telekhatár rendezés kizárólag a szabályozási terven jelöltek szerint hajtható végre, és amel</w:t>
      </w:r>
      <w:r>
        <w:t>y során 10,0 m-nél keskenyebb telekrész nem jöhet létre.</w:t>
      </w:r>
    </w:p>
    <w:p w:rsidR="002271CE" w:rsidRDefault="007716C1">
      <w:pPr>
        <w:pStyle w:val="Szvegtrzs"/>
        <w:spacing w:before="240" w:after="240" w:line="240" w:lineRule="auto"/>
        <w:jc w:val="both"/>
      </w:pPr>
      <w:r>
        <w:lastRenderedPageBreak/>
        <w:t>(10) A szabályozási terven telek be nem építhető területrésze jellel jelölt terület zöldfelületként fenntartandó, melyen épületet elhelyezni nem lehet.”</w:t>
      </w:r>
    </w:p>
    <w:p w:rsidR="002271CE" w:rsidRDefault="007716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271CE" w:rsidRDefault="007716C1">
      <w:pPr>
        <w:pStyle w:val="Szvegtrzs"/>
        <w:spacing w:after="0" w:line="240" w:lineRule="auto"/>
        <w:jc w:val="both"/>
      </w:pPr>
      <w:r>
        <w:t>A Vilonya Község Helyi Építési Szabályzat</w:t>
      </w:r>
      <w:r>
        <w:t>áról szóló 10/2018.(XI.19.) önkormányzati rendelet 21.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(5) bekezdéssel egészül ki:</w:t>
      </w:r>
    </w:p>
    <w:p w:rsidR="002271CE" w:rsidRDefault="007716C1">
      <w:pPr>
        <w:pStyle w:val="Szvegtrzs"/>
        <w:spacing w:before="240" w:after="240" w:line="240" w:lineRule="auto"/>
        <w:jc w:val="both"/>
      </w:pPr>
      <w:r>
        <w:t>„(5) A Vt-6 jelű övezet telkein elhelyezett építmények rendeltetésszerű használatához szükséges gépjármű közterületen is elhelyezhető”</w:t>
      </w:r>
    </w:p>
    <w:p w:rsidR="002271CE" w:rsidRDefault="007716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271CE" w:rsidRDefault="007716C1">
      <w:pPr>
        <w:pStyle w:val="Szvegtrzs"/>
        <w:spacing w:after="0" w:line="240" w:lineRule="auto"/>
        <w:jc w:val="both"/>
      </w:pPr>
      <w:r>
        <w:t>(1) A Vilonya Köz</w:t>
      </w:r>
      <w:r>
        <w:t>ség Helyi Építési Szabályzatáról szóló 10/2018.(XI.19.) önkormányzati rendelet 1. melléklete helyébe az 1. melléklet lép.</w:t>
      </w:r>
    </w:p>
    <w:p w:rsidR="002271CE" w:rsidRDefault="007716C1">
      <w:pPr>
        <w:pStyle w:val="Szvegtrzs"/>
        <w:spacing w:before="240" w:after="0" w:line="240" w:lineRule="auto"/>
        <w:jc w:val="both"/>
      </w:pPr>
      <w:r>
        <w:t>(2) A Vilonya Község Helyi Építési Szabályzatáról szóló 10/2018.(XI.19.) önkormányzati rendelet 3-5. melléklete helyébe a 2. melléklet</w:t>
      </w:r>
      <w:r>
        <w:t xml:space="preserve"> lép.</w:t>
      </w:r>
    </w:p>
    <w:p w:rsidR="002271CE" w:rsidRDefault="007716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271CE" w:rsidRDefault="007716C1">
      <w:pPr>
        <w:pStyle w:val="Szvegtrzs"/>
        <w:spacing w:after="0" w:line="240" w:lineRule="auto"/>
        <w:jc w:val="both"/>
      </w:pPr>
      <w:r>
        <w:t>Ez a rendelet a kihirdetését követő 15. napon lép hatályba.</w:t>
      </w:r>
      <w:r>
        <w:br w:type="page"/>
      </w:r>
    </w:p>
    <w:p w:rsidR="002271CE" w:rsidRDefault="007716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</w:t>
      </w:r>
      <w:proofErr w:type="gramEnd"/>
      <w:r>
        <w:rPr>
          <w:i/>
          <w:iCs/>
          <w:u w:val="single"/>
        </w:rPr>
        <w:t>../...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271CE" w:rsidRDefault="007716C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10/2018. (XI. 19.) önkormányzati rendelethez</w:t>
      </w:r>
    </w:p>
    <w:p w:rsidR="002271CE" w:rsidRDefault="007716C1">
      <w:pPr>
        <w:pStyle w:val="Szvegtrzs"/>
        <w:spacing w:line="240" w:lineRule="auto"/>
        <w:jc w:val="both"/>
      </w:pPr>
      <w:r>
        <w:t xml:space="preserve">(A melléklet szövegét a(z) 1. melléklet.pdf elnevezésű </w:t>
      </w:r>
      <w:proofErr w:type="gramStart"/>
      <w:r>
        <w:t>fájl</w:t>
      </w:r>
      <w:proofErr w:type="gramEnd"/>
      <w:r>
        <w:t xml:space="preserve"> tartalmazza.)”</w:t>
      </w:r>
      <w:r>
        <w:br w:type="page"/>
      </w:r>
    </w:p>
    <w:p w:rsidR="002271CE" w:rsidRDefault="007716C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271CE" w:rsidRDefault="007716C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3-5. melléklet a 10/2018. (XI. 19.) önkormányzati rendelethez</w:t>
      </w:r>
    </w:p>
    <w:p w:rsidR="002271CE" w:rsidRDefault="007716C1">
      <w:pPr>
        <w:pStyle w:val="Szvegtrzs"/>
        <w:spacing w:line="240" w:lineRule="auto"/>
        <w:jc w:val="both"/>
        <w:sectPr w:rsidR="002271C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</w:t>
      </w:r>
      <w:r>
        <w:t xml:space="preserve">melléklet szövegét a(z) 3-5.melléklet.pdf elnevezésű </w:t>
      </w:r>
      <w:proofErr w:type="gramStart"/>
      <w:r>
        <w:t>fájl</w:t>
      </w:r>
      <w:proofErr w:type="gramEnd"/>
      <w:r>
        <w:t xml:space="preserve"> tartalmazza.)”</w:t>
      </w:r>
    </w:p>
    <w:p w:rsidR="002271CE" w:rsidRDefault="002271CE">
      <w:pPr>
        <w:pStyle w:val="Szvegtrzs"/>
        <w:spacing w:after="0"/>
        <w:jc w:val="center"/>
      </w:pPr>
    </w:p>
    <w:p w:rsidR="002271CE" w:rsidRDefault="007716C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2271CE" w:rsidRDefault="007716C1">
      <w:pPr>
        <w:pStyle w:val="Szvegtrzs"/>
        <w:spacing w:after="160" w:line="240" w:lineRule="auto"/>
        <w:jc w:val="both"/>
      </w:pPr>
      <w:r>
        <w:t>A képviselő-testület a településrendezési eszközök tekintetében az alábbi módosítási pontok támogatása mellett döntött:</w:t>
      </w:r>
    </w:p>
    <w:p w:rsidR="002271CE" w:rsidRDefault="007716C1">
      <w:pPr>
        <w:pStyle w:val="Szvegtrzs"/>
        <w:spacing w:after="160" w:line="240" w:lineRule="auto"/>
        <w:jc w:val="both"/>
      </w:pPr>
      <w:proofErr w:type="gramStart"/>
      <w:r>
        <w:t>a</w:t>
      </w:r>
      <w:proofErr w:type="gramEnd"/>
      <w:r>
        <w:t>) Vilonya, 422 hrsz-ú, magántulajdonban á</w:t>
      </w:r>
      <w:r>
        <w:t>lló ingatlanon a „</w:t>
      </w:r>
      <w:proofErr w:type="spellStart"/>
      <w:r>
        <w:t>Zkk</w:t>
      </w:r>
      <w:proofErr w:type="spellEnd"/>
      <w:r>
        <w:t>” jelű közkert övezetbe sorolt területen egy lakófunkció elhelyezését biztosító építési övezet kialakítása,</w:t>
      </w:r>
    </w:p>
    <w:p w:rsidR="002271CE" w:rsidRDefault="007716C1">
      <w:pPr>
        <w:pStyle w:val="Szvegtrzs"/>
        <w:spacing w:after="160" w:line="240" w:lineRule="auto"/>
        <w:jc w:val="both"/>
      </w:pPr>
      <w:r>
        <w:t>b) Vilonya, 317 és 318 hrsz-ú ingatlanokon és a környező ingatlanok tervezett úttal érintett részein a „</w:t>
      </w:r>
      <w:proofErr w:type="spellStart"/>
      <w:r>
        <w:t>Köu</w:t>
      </w:r>
      <w:proofErr w:type="spellEnd"/>
      <w:r>
        <w:t xml:space="preserve">” övezet módosítása </w:t>
      </w:r>
      <w:r>
        <w:t>oly módon, hogy a 318 hrsz-ú ingatlan környezetében „</w:t>
      </w:r>
      <w:proofErr w:type="spellStart"/>
      <w:r>
        <w:t>Vt</w:t>
      </w:r>
      <w:proofErr w:type="spellEnd"/>
      <w:r>
        <w:t>” jelű településközponti vegyes terület legyen kialakítható, továbbá a fennmaradó területek egy részén a jelenlegi „</w:t>
      </w:r>
      <w:proofErr w:type="spellStart"/>
      <w:r>
        <w:t>Köu</w:t>
      </w:r>
      <w:proofErr w:type="spellEnd"/>
      <w:r>
        <w:t>” övezet „</w:t>
      </w:r>
      <w:proofErr w:type="spellStart"/>
      <w:r>
        <w:t>Zkk</w:t>
      </w:r>
      <w:proofErr w:type="spellEnd"/>
      <w:r>
        <w:t>” jelű közkertté minősüljön,</w:t>
      </w:r>
    </w:p>
    <w:p w:rsidR="002271CE" w:rsidRDefault="007716C1">
      <w:pPr>
        <w:pStyle w:val="Szvegtrzs"/>
        <w:spacing w:after="160" w:line="240" w:lineRule="auto"/>
        <w:jc w:val="both"/>
      </w:pPr>
      <w:r>
        <w:t>c) Vilonya, Újtelep-Pap Gábor-Papkeszi u</w:t>
      </w:r>
      <w:r>
        <w:t>tcák határolta tömbön belül a szabályozás felülvizsgálata oly módon, hogy az egymással szomszédos ingatlanok közötti telekalakítások megvalósíthatók legyenek.</w:t>
      </w:r>
    </w:p>
    <w:p w:rsidR="002271CE" w:rsidRDefault="007716C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2271CE" w:rsidRDefault="007716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2271CE" w:rsidRDefault="007716C1">
      <w:pPr>
        <w:pStyle w:val="Szvegtrzs"/>
        <w:spacing w:before="159" w:after="159" w:line="240" w:lineRule="auto"/>
        <w:ind w:left="159" w:right="159"/>
        <w:jc w:val="both"/>
      </w:pPr>
      <w:r>
        <w:t xml:space="preserve">A szakasz a beépítésre szánt területek általános előírásait </w:t>
      </w:r>
      <w:r>
        <w:t>egészíti ki.</w:t>
      </w:r>
    </w:p>
    <w:p w:rsidR="002271CE" w:rsidRDefault="007716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2271CE" w:rsidRDefault="007716C1">
      <w:pPr>
        <w:pStyle w:val="Szvegtrzs"/>
        <w:spacing w:before="159" w:after="159" w:line="240" w:lineRule="auto"/>
        <w:ind w:left="159" w:right="159"/>
        <w:jc w:val="both"/>
      </w:pPr>
      <w:r>
        <w:t>A szakasz a településközponti vegyes területre vonatkozó előírásokat egészíti ki.</w:t>
      </w:r>
    </w:p>
    <w:p w:rsidR="002271CE" w:rsidRDefault="007716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2271CE" w:rsidRDefault="007716C1">
      <w:pPr>
        <w:pStyle w:val="Szvegtrzs"/>
        <w:spacing w:before="159" w:after="159" w:line="240" w:lineRule="auto"/>
        <w:ind w:left="159" w:right="159"/>
        <w:jc w:val="both"/>
      </w:pPr>
      <w:r>
        <w:t>A szakasz az 1. és a 3-5. melléklet cseréjét tartalmazza</w:t>
      </w:r>
    </w:p>
    <w:p w:rsidR="002271CE" w:rsidRDefault="007716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2271CE" w:rsidRDefault="007716C1">
      <w:pPr>
        <w:pStyle w:val="Szvegtrzs"/>
        <w:spacing w:before="159" w:after="159" w:line="240" w:lineRule="auto"/>
        <w:ind w:left="159" w:right="159"/>
        <w:jc w:val="both"/>
      </w:pPr>
      <w:r>
        <w:t>A szakasz hatályba léptető rendelkezés tartalmaz.</w:t>
      </w:r>
    </w:p>
    <w:sectPr w:rsidR="002271C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6C1" w:rsidRDefault="007716C1">
      <w:r>
        <w:separator/>
      </w:r>
    </w:p>
  </w:endnote>
  <w:endnote w:type="continuationSeparator" w:id="0">
    <w:p w:rsidR="007716C1" w:rsidRDefault="0077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1CE" w:rsidRDefault="007716C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52F9A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1CE" w:rsidRDefault="007716C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52F9A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6C1" w:rsidRDefault="007716C1">
      <w:r>
        <w:separator/>
      </w:r>
    </w:p>
  </w:footnote>
  <w:footnote w:type="continuationSeparator" w:id="0">
    <w:p w:rsidR="007716C1" w:rsidRDefault="0077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E2C08"/>
    <w:multiLevelType w:val="multilevel"/>
    <w:tmpl w:val="CD28102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1CE"/>
    <w:rsid w:val="002271CE"/>
    <w:rsid w:val="00552F9A"/>
    <w:rsid w:val="0077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854B"/>
  <w15:docId w15:val="{73D46D95-4EFE-4984-A8EF-C6C3CFE7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4809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dc:description/>
  <cp:lastModifiedBy>Niki</cp:lastModifiedBy>
  <cp:revision>2</cp:revision>
  <dcterms:created xsi:type="dcterms:W3CDTF">2025-11-18T12:16:00Z</dcterms:created>
  <dcterms:modified xsi:type="dcterms:W3CDTF">2025-11-18T12:16:00Z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